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91" w:rsidRDefault="00BC3C20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28"/>
        </w:rPr>
        <w:t xml:space="preserve">УПРАВЛЕНИЕ ФЕДЕРАЛЬНОЙ СЛУЖБЫ </w:t>
      </w:r>
      <w:r>
        <w:rPr>
          <w:rFonts w:ascii="Times New Roman" w:hAnsi="Times New Roman"/>
          <w:b/>
          <w:color w:val="0070C0"/>
          <w:sz w:val="28"/>
        </w:rPr>
        <w:br/>
        <w:t xml:space="preserve">ГОСУДАРСТВЕННОЙ СТАТИСТИКИ </w:t>
      </w:r>
      <w:r>
        <w:rPr>
          <w:rFonts w:ascii="Times New Roman" w:hAnsi="Times New Roman"/>
          <w:b/>
          <w:color w:val="0070C0"/>
          <w:sz w:val="28"/>
        </w:rPr>
        <w:br/>
        <w:t>ПО РЕСПУБЛИКЕ КРЫМ И Г. СЕВАСТОПОЛЮ</w:t>
      </w:r>
    </w:p>
    <w:p w:rsidR="008E5191" w:rsidRDefault="00BC3C2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lang w:val="en-US"/>
        </w:rPr>
      </w:pPr>
      <w:r>
        <w:rPr>
          <w:rFonts w:ascii="Times New Roman" w:hAnsi="Times New Roman"/>
          <w:b/>
          <w:color w:val="0070C0"/>
          <w:sz w:val="28"/>
        </w:rPr>
        <w:t>(КРЫМСТАТ)</w:t>
      </w:r>
    </w:p>
    <w:p w:rsidR="008E5191" w:rsidRDefault="008E5191">
      <w:pPr>
        <w:spacing w:after="0" w:line="240" w:lineRule="auto"/>
        <w:jc w:val="center"/>
        <w:rPr>
          <w:b/>
          <w:color w:val="0070C0"/>
          <w:lang w:val="en-US"/>
        </w:rPr>
      </w:pPr>
    </w:p>
    <w:tbl>
      <w:tblPr>
        <w:tblW w:w="0" w:type="auto"/>
        <w:tblInd w:w="108" w:type="dxa"/>
        <w:tblBorders>
          <w:bottom w:val="single" w:sz="18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5786"/>
      </w:tblGrid>
      <w:tr w:rsidR="008E5191">
        <w:trPr>
          <w:trHeight w:val="368"/>
        </w:trPr>
        <w:tc>
          <w:tcPr>
            <w:tcW w:w="4485" w:type="dxa"/>
            <w:tcBorders>
              <w:bottom w:val="single" w:sz="18" w:space="0" w:color="92CDDC"/>
            </w:tcBorders>
            <w:vAlign w:val="center"/>
          </w:tcPr>
          <w:p w:rsidR="008E5191" w:rsidRDefault="008E5191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24"/>
              </w:rPr>
            </w:pPr>
          </w:p>
        </w:tc>
        <w:tc>
          <w:tcPr>
            <w:tcW w:w="5786" w:type="dxa"/>
            <w:tcBorders>
              <w:bottom w:val="single" w:sz="18" w:space="0" w:color="92CDDC"/>
            </w:tcBorders>
            <w:vAlign w:val="center"/>
          </w:tcPr>
          <w:p w:rsidR="008E5191" w:rsidRDefault="00BC3C2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</w:rPr>
              <w:t>ПРЕСС-ВЫПУСК</w:t>
            </w:r>
          </w:p>
        </w:tc>
      </w:tr>
    </w:tbl>
    <w:p w:rsidR="008E5191" w:rsidRDefault="008E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191" w:rsidRDefault="00BC3C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Изменение потребительских цен в Республике Крым в октябре 2023 года </w:t>
      </w:r>
    </w:p>
    <w:p w:rsidR="008E5191" w:rsidRDefault="008E51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191" w:rsidRDefault="00BC3C20">
      <w:pPr>
        <w:pStyle w:val="120"/>
        <w:spacing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 итогам наблюдения за изменением потребительских цен в </w:t>
      </w:r>
      <w:r>
        <w:rPr>
          <w:rFonts w:ascii="Times New Roman" w:hAnsi="Times New Roman"/>
          <w:color w:val="auto"/>
          <w:sz w:val="28"/>
        </w:rPr>
        <w:t>октябре 2023 года в Южном федеральном округе инфляция составила 0,62 процента к предыдущему месяцу. Рост потребительских цен выше, чем в среднем по округу, наблюдался в пяти субъектах: от 0,99% в Астраханской области до 0,73% в Ростовской области. В трех р</w:t>
      </w:r>
      <w:r>
        <w:rPr>
          <w:rFonts w:ascii="Times New Roman" w:hAnsi="Times New Roman"/>
          <w:color w:val="auto"/>
          <w:sz w:val="28"/>
        </w:rPr>
        <w:t>егионах инфляция сложилась ниже среднего уровня по округу: от 0,52% - в городе Севастополе до 0,14% - в Республике Крым.</w:t>
      </w:r>
    </w:p>
    <w:p w:rsidR="008E5191" w:rsidRDefault="00BC3C20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Республике Крым из тринадцати основных направлений потребительских расходов населения в октябре повышение цен отмечено по пяти</w:t>
      </w:r>
      <w:r>
        <w:rPr>
          <w:rFonts w:ascii="Times New Roman" w:hAnsi="Times New Roman"/>
          <w:color w:val="auto"/>
          <w:sz w:val="28"/>
        </w:rPr>
        <w:t xml:space="preserve"> направлениям, причём наибольшее - на продукты питания и безалкогольные напитки. В то же время по семи направлениям потребительских расходов отмечено снижение цен, наибольшее - в сферах транспорта, отдыха и культурных мероприятий.</w:t>
      </w:r>
    </w:p>
    <w:p w:rsidR="008E5191" w:rsidRDefault="00BC3C20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целом по группе продукт</w:t>
      </w:r>
      <w:r>
        <w:rPr>
          <w:rFonts w:ascii="Times New Roman" w:hAnsi="Times New Roman"/>
          <w:color w:val="auto"/>
          <w:sz w:val="28"/>
        </w:rPr>
        <w:t>ов питания (без алкогольных напитков) прирост цен за месяц составил 0,9%. Наиболее всего подорожали помидоры свежие - на 52,1%, огурцы свежие - на 34,1%. Одновременно наблюдалось снижение цен на капусту белокочанную свежую - на 26,4%, свеклу столовую - 19,</w:t>
      </w:r>
      <w:r>
        <w:rPr>
          <w:rFonts w:ascii="Times New Roman" w:hAnsi="Times New Roman"/>
          <w:color w:val="auto"/>
          <w:sz w:val="28"/>
        </w:rPr>
        <w:t>9%, лимоны - на 12,3%.</w:t>
      </w:r>
    </w:p>
    <w:p w:rsidR="008E5191" w:rsidRDefault="00BC3C20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Ценовая динамика в транспортной сфере связана со удешевлением цен на автомобильное топливо. Снижение стоимости дизельного топлива составило 10,5%, бензина автомобильных марок АИ-95, АИ-92 и АИ-98 - от 7,1% до 3,2%. Также снизилась ст</w:t>
      </w:r>
      <w:r>
        <w:rPr>
          <w:rFonts w:ascii="Times New Roman" w:hAnsi="Times New Roman"/>
          <w:color w:val="auto"/>
          <w:sz w:val="28"/>
        </w:rPr>
        <w:t>оимость проезда в купейном вагоне фирменного поезда дальнего следования на 15,8%. В то же время повысилась цена проезда в междугороднем автобусе - на 9,8%.</w:t>
      </w:r>
    </w:p>
    <w:p w:rsidR="008E5191" w:rsidRDefault="00BC3C20">
      <w:pPr>
        <w:pStyle w:val="120"/>
        <w:spacing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Сезонное снижение цен наблюдалось на услуги организации отдыха, спортивных и культурных мероприятий.</w:t>
      </w:r>
      <w:r>
        <w:rPr>
          <w:rFonts w:ascii="Times New Roman" w:hAnsi="Times New Roman"/>
          <w:color w:val="auto"/>
          <w:sz w:val="28"/>
        </w:rPr>
        <w:t xml:space="preserve"> Услуги домов отдыха подешевели на 18,4%, поездки на отдых в Турцию - 6,7%, в страны Закавказья - на 6,4%. При этом повысилась стоимость газет в розницу - на 4,3%.</w:t>
      </w:r>
    </w:p>
    <w:p w:rsidR="008E5191" w:rsidRDefault="00BC3C20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Проживание в гостинице 4-5*, 2*, 3* стало дешевле на 16,8 - 6,1%. В то же время отмечен прир</w:t>
      </w:r>
      <w:r>
        <w:rPr>
          <w:rFonts w:ascii="Times New Roman" w:hAnsi="Times New Roman"/>
          <w:color w:val="auto"/>
          <w:sz w:val="28"/>
        </w:rPr>
        <w:t>ост стоимости проживания в хостеле - на 5,6%.</w:t>
      </w:r>
    </w:p>
    <w:p w:rsidR="008E5191" w:rsidRDefault="00BC3C20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Стоимость минимального набора продуктов питания в среднем по Республике Крым в расчёте на одного человека в конце октября 2023 г. составила 5887 рублей, что на 0,3% больше показателя предыдущего месяца.</w:t>
      </w:r>
    </w:p>
    <w:p w:rsidR="008E5191" w:rsidRDefault="00BC3C20">
      <w:pPr>
        <w:widowControl w:val="0"/>
        <w:spacing w:after="0" w:line="216" w:lineRule="auto"/>
        <w:ind w:right="141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Стоимос</w:t>
      </w:r>
      <w:r>
        <w:rPr>
          <w:rFonts w:ascii="Times New Roman" w:hAnsi="Times New Roman"/>
          <w:color w:val="auto"/>
          <w:sz w:val="28"/>
        </w:rPr>
        <w:t>ть фиксированного набора потребительских товаров и услуг для межрегиональных сопоставлений покупательной способности населения в расчёте на месяц на одного человека в среднем по Республике Крым в конце октября 2023 г. составила 20374 рубля. За месяц она ув</w:t>
      </w:r>
      <w:r>
        <w:rPr>
          <w:rFonts w:ascii="Times New Roman" w:hAnsi="Times New Roman"/>
          <w:color w:val="auto"/>
          <w:sz w:val="28"/>
        </w:rPr>
        <w:t>еличилась на 0,3%.</w:t>
      </w:r>
    </w:p>
    <w:p w:rsidR="008E5191" w:rsidRDefault="00BC3C20">
      <w:pPr>
        <w:pStyle w:val="26"/>
        <w:tabs>
          <w:tab w:val="left" w:pos="0"/>
          <w:tab w:val="left" w:pos="709"/>
        </w:tabs>
        <w:spacing w:after="0" w:line="216" w:lineRule="auto"/>
        <w:ind w:left="0" w:right="141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 жилищной сфере стал дороже найм муниципального жилья - на 10,5%, аренда однокомнатной квартиры - 5,1%, отмечен рост цен на отдельные виды строительных материалов: линолеум стал дороже на 4,9%, металлочерепица - 4,1%, доска обрезная и </w:t>
      </w:r>
      <w:r>
        <w:rPr>
          <w:color w:val="auto"/>
          <w:sz w:val="28"/>
        </w:rPr>
        <w:t>уголь - на 3,6%. Одновременно подешевели: ламинат - на 3,4%, плиты древесностружечные, ориентированно-стружечные - на 1,3%.</w:t>
      </w:r>
    </w:p>
    <w:p w:rsidR="008E5191" w:rsidRDefault="008E5191">
      <w:pPr>
        <w:widowControl w:val="0"/>
        <w:spacing w:after="0" w:line="216" w:lineRule="auto"/>
        <w:ind w:right="141"/>
        <w:jc w:val="both"/>
        <w:rPr>
          <w:rFonts w:ascii="Times New Roman" w:hAnsi="Times New Roman"/>
          <w:color w:val="auto"/>
          <w:sz w:val="28"/>
        </w:rPr>
      </w:pPr>
    </w:p>
    <w:p w:rsidR="008E5191" w:rsidRDefault="008E5191">
      <w:pPr>
        <w:widowControl w:val="0"/>
        <w:spacing w:after="0" w:line="216" w:lineRule="auto"/>
        <w:ind w:right="141"/>
        <w:jc w:val="both"/>
        <w:rPr>
          <w:rFonts w:ascii="Times New Roman" w:hAnsi="Times New Roman"/>
          <w:color w:val="auto"/>
          <w:sz w:val="28"/>
        </w:rPr>
      </w:pPr>
    </w:p>
    <w:p w:rsidR="008E5191" w:rsidRDefault="00BC3C20">
      <w:pPr>
        <w:pStyle w:val="af9"/>
        <w:spacing w:after="0" w:line="192" w:lineRule="auto"/>
        <w:ind w:left="0" w:right="1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 использовании материала ссылка на Крымстат обязательна.</w:t>
      </w:r>
    </w:p>
    <w:p w:rsidR="008E5191" w:rsidRDefault="00BC3C20">
      <w:pPr>
        <w:spacing w:after="0" w:line="240" w:lineRule="auto"/>
        <w:jc w:val="both"/>
        <w:rPr>
          <w:rFonts w:ascii="Times New Roman CYR" w:hAnsi="Times New Roman CYR" w:cs="Times New Roman CYR"/>
          <w:bCs/>
          <w:sz w:val="20"/>
        </w:rPr>
      </w:pPr>
      <w:r>
        <w:rPr>
          <w:rFonts w:ascii="Times New Roman" w:hAnsi="Times New Roman"/>
          <w:sz w:val="20"/>
        </w:rPr>
        <w:t>Отдел статистики цен и финансов (3652) 25-62-10,</w:t>
      </w:r>
      <w:r>
        <w:rPr>
          <w:rFonts w:ascii="Times New Roman CYR" w:hAnsi="Times New Roman CYR" w:cs="Times New Roman CYR"/>
          <w:bCs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Cs/>
          <w:sz w:val="20"/>
        </w:rPr>
        <w:t>7(978) 982 33 00</w:t>
      </w:r>
    </w:p>
    <w:sectPr w:rsidR="008E5191">
      <w:pgSz w:w="11906" w:h="16838"/>
      <w:pgMar w:top="567" w:right="567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91" w:rsidRDefault="00BC3C20">
      <w:pPr>
        <w:spacing w:after="0" w:line="240" w:lineRule="auto"/>
      </w:pPr>
      <w:r>
        <w:separator/>
      </w:r>
    </w:p>
  </w:endnote>
  <w:endnote w:type="continuationSeparator" w:id="0">
    <w:p w:rsidR="008E5191" w:rsidRDefault="00B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TimesET"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91" w:rsidRDefault="00BC3C20">
      <w:pPr>
        <w:spacing w:after="0" w:line="240" w:lineRule="auto"/>
      </w:pPr>
      <w:r>
        <w:separator/>
      </w:r>
    </w:p>
  </w:footnote>
  <w:footnote w:type="continuationSeparator" w:id="0">
    <w:p w:rsidR="008E5191" w:rsidRDefault="00BC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91"/>
    <w:rsid w:val="008E5191"/>
    <w:rsid w:val="00B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C4763D-018C-4F8B-A1A2-265E16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right"/>
      <w:outlineLvl w:val="1"/>
    </w:pPr>
    <w:rPr>
      <w:rFonts w:ascii="Arial" w:hAnsi="Arial"/>
      <w:b/>
      <w:color w:val="808080"/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f5">
    <w:name w:val="Balloon Text"/>
    <w:basedOn w:val="a"/>
    <w:link w:val="af6"/>
    <w:pPr>
      <w:spacing w:after="0" w:line="240" w:lineRule="auto"/>
    </w:pPr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f7">
    <w:name w:val="Текст у виносці Знак"/>
    <w:basedOn w:val="13"/>
    <w:link w:val="af8"/>
    <w:rPr>
      <w:rFonts w:ascii="Segoe UI" w:hAnsi="Segoe UI"/>
      <w:sz w:val="18"/>
    </w:rPr>
  </w:style>
  <w:style w:type="character" w:customStyle="1" w:styleId="af8">
    <w:name w:val="Текст у виносці Знак"/>
    <w:basedOn w:val="a0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14">
    <w:name w:val="Текст выноски Знак1"/>
    <w:basedOn w:val="13"/>
    <w:link w:val="15"/>
    <w:rPr>
      <w:rFonts w:ascii="Tahoma" w:hAnsi="Tahoma"/>
      <w:sz w:val="16"/>
    </w:rPr>
  </w:style>
  <w:style w:type="character" w:customStyle="1" w:styleId="15">
    <w:name w:val="Текст выноски Знак1"/>
    <w:basedOn w:val="a0"/>
    <w:link w:val="14"/>
    <w:rPr>
      <w:rFonts w:ascii="Tahoma" w:hAnsi="Tahoma"/>
      <w:sz w:val="16"/>
    </w:rPr>
  </w:style>
  <w:style w:type="paragraph" w:styleId="af9">
    <w:name w:val="Body Text Indent"/>
    <w:basedOn w:val="a"/>
    <w:link w:val="afa"/>
    <w:pPr>
      <w:widowControl w:val="0"/>
      <w:spacing w:after="120" w:line="240" w:lineRule="auto"/>
      <w:ind w:left="283"/>
    </w:pPr>
    <w:rPr>
      <w:rFonts w:ascii="TimesET" w:hAnsi="TimesET"/>
      <w:sz w:val="20"/>
    </w:rPr>
  </w:style>
  <w:style w:type="character" w:customStyle="1" w:styleId="afa">
    <w:name w:val="Основной текст с отступом Знак"/>
    <w:basedOn w:val="1"/>
    <w:link w:val="af9"/>
    <w:rPr>
      <w:rFonts w:ascii="TimesET" w:hAnsi="TimesET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3"/>
    <w:link w:val="afb"/>
    <w:rPr>
      <w:color w:val="0000FF"/>
      <w:u w:val="single"/>
    </w:rPr>
  </w:style>
  <w:style w:type="character" w:styleId="afb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20">
    <w:name w:val="Обычный12"/>
    <w:link w:val="121"/>
    <w:pPr>
      <w:widowControl w:val="0"/>
    </w:pPr>
    <w:rPr>
      <w:sz w:val="20"/>
    </w:rPr>
  </w:style>
  <w:style w:type="character" w:customStyle="1" w:styleId="121">
    <w:name w:val="Обычный12"/>
    <w:link w:val="120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27">
    <w:name w:val="Основной текст с отступом 2 Знак"/>
    <w:basedOn w:val="1"/>
    <w:link w:val="26"/>
    <w:rPr>
      <w:rFonts w:ascii="Times New Roman" w:hAnsi="Times New Roman"/>
      <w:sz w:val="20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next w:val="a"/>
    <w:link w:val="aff"/>
    <w:uiPriority w:val="10"/>
    <w:qFormat/>
    <w:rPr>
      <w:rFonts w:ascii="XO Thames" w:hAnsi="XO Thames"/>
      <w:b/>
      <w:sz w:val="52"/>
    </w:rPr>
  </w:style>
  <w:style w:type="character" w:customStyle="1" w:styleId="aff">
    <w:name w:val="Название Знак"/>
    <w:link w:val="a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Знак1 Знак Знак"/>
    <w:basedOn w:val="a"/>
    <w:link w:val="1a"/>
    <w:pPr>
      <w:spacing w:after="0" w:line="240" w:lineRule="auto"/>
    </w:pPr>
    <w:rPr>
      <w:rFonts w:ascii="Verdana" w:hAnsi="Verdana"/>
      <w:sz w:val="20"/>
    </w:rPr>
  </w:style>
  <w:style w:type="character" w:customStyle="1" w:styleId="1a">
    <w:name w:val="Знак Знак1 Знак Знак"/>
    <w:basedOn w:val="1"/>
    <w:link w:val="19"/>
    <w:rPr>
      <w:rFonts w:ascii="Verdana" w:hAnsi="Verdana"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808080"/>
      <w:sz w:val="24"/>
    </w:rPr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62F8-FBAA-4F0F-9821-6CDB69E7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Куклева Виктория Геннадьевна</dc:creator>
  <cp:lastModifiedBy>Гайворонская Светлана Владимировна</cp:lastModifiedBy>
  <cp:revision>2</cp:revision>
  <dcterms:created xsi:type="dcterms:W3CDTF">2023-11-21T13:09:00Z</dcterms:created>
  <dcterms:modified xsi:type="dcterms:W3CDTF">2023-11-21T13:09:00Z</dcterms:modified>
</cp:coreProperties>
</file>